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Competency 3: Advance Human Rights and Social, Economic, and Environmental Justice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1"/>
        <w:tblW w:w="10020.0" w:type="dxa"/>
        <w:jc w:val="left"/>
        <w:tblInd w:w="-7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480"/>
        <w:gridCol w:w="5310"/>
        <w:gridCol w:w="1230"/>
        <w:tblGridChange w:id="0">
          <w:tblGrid>
            <w:gridCol w:w="3480"/>
            <w:gridCol w:w="5310"/>
            <w:gridCol w:w="1230"/>
          </w:tblGrid>
        </w:tblGridChange>
      </w:tblGrid>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Competency 3: Advance Human Rights and Social, Economic, and Environmental Justice</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Activities within the internship</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Anticipated date of learning activity</w:t>
            </w:r>
            <w:r w:rsidDel="00000000" w:rsidR="00000000" w:rsidRPr="00000000">
              <w:rPr>
                <w:rFonts w:ascii="Times New Roman" w:cs="Times New Roman" w:eastAsia="Times New Roman" w:hAnsi="Times New Roman"/>
                <w:sz w:val="20"/>
                <w:szCs w:val="20"/>
                <w:rtl w:val="0"/>
              </w:rPr>
              <w:t xml:space="preserve"> </w:t>
            </w:r>
          </w:p>
        </w:tc>
      </w:tr>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apply their understanding of social, economic, and environmental justice to advocate for human rights at the individual and system levels.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Encourage intern to practice case management skills to locate local/community resources for their clients/families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 to utilize IRIS (</w:t>
            </w:r>
            <w:r w:rsidDel="00000000" w:rsidR="00000000" w:rsidRPr="00000000">
              <w:rPr>
                <w:rFonts w:ascii="Calibri" w:cs="Calibri" w:eastAsia="Calibri" w:hAnsi="Calibri"/>
                <w:b w:val="1"/>
                <w:highlight w:val="white"/>
                <w:rtl w:val="0"/>
              </w:rPr>
              <w:t xml:space="preserve">Integrated Referral &amp; Intake System)</w:t>
            </w:r>
            <w:r w:rsidDel="00000000" w:rsidR="00000000" w:rsidRPr="00000000">
              <w:rPr>
                <w:rFonts w:ascii="Times New Roman" w:cs="Times New Roman" w:eastAsia="Times New Roman" w:hAnsi="Times New Roman"/>
                <w:sz w:val="24"/>
                <w:szCs w:val="24"/>
                <w:rtl w:val="0"/>
              </w:rPr>
              <w:t xml:space="preserve"> system to make appropriate referrals for economic needs and resources.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Utilize community based funds/grants to apply on behalf of clients/families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 to apply their understanding of social, economic status within the community served and address ways to advocate needs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engage in practices that advance social, economic, and environmental justice.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Encourage interns to attend marches, mental health (statewide) meetings/calls and to complete an IDI (intercultural development inventory and plan)</w:t>
            </w:r>
            <w:r w:rsidDel="00000000" w:rsidR="00000000" w:rsidRPr="00000000">
              <w:rPr>
                <w:rFonts w:ascii="Times New Roman" w:cs="Times New Roman" w:eastAsia="Times New Roman" w:hAnsi="Times New Roman"/>
                <w:sz w:val="24"/>
                <w:szCs w:val="24"/>
                <w:rtl w:val="0"/>
              </w:rPr>
              <w:t xml:space="preserve"> Intern will review criteria for levels of care. </w:t>
            </w:r>
            <w:r w:rsidDel="00000000" w:rsidR="00000000" w:rsidRPr="00000000">
              <w:rPr>
                <w:rFonts w:ascii="Times New Roman" w:cs="Times New Roman" w:eastAsia="Times New Roman" w:hAnsi="Times New Roman"/>
                <w:color w:val="0000ff"/>
                <w:sz w:val="24"/>
                <w:szCs w:val="24"/>
                <w:rtl w:val="0"/>
              </w:rPr>
              <w:t xml:space="preserve">Intern will advocate for patients of varying socioeconomic status (specifically - insurance providers and benefits) - to remain at appropriate level of care via daily documentation, staffing, and collaboration with utilization management. </w:t>
            </w:r>
            <w:r w:rsidDel="00000000" w:rsidR="00000000" w:rsidRPr="00000000">
              <w:rPr>
                <w:rFonts w:ascii="Times New Roman" w:cs="Times New Roman" w:eastAsia="Times New Roman" w:hAnsi="Times New Roman"/>
                <w:sz w:val="24"/>
                <w:szCs w:val="24"/>
                <w:rtl w:val="0"/>
              </w:rPr>
              <w:t xml:space="preserve">Work with our student interns to learn the policies and procedures in working with the small population of students in foster care and who qualify as unaccompanied minors or homeless.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Encourage interns to subscribe to multicultural and social justice academic journals for their continued professional development on this competency (they get a lower membership fee as a student!)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Competency 4: Engage In Practice-informed Research and Research-informed Practice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bl>
      <w:tblPr>
        <w:tblStyle w:val="Table2"/>
        <w:tblW w:w="10470.0" w:type="dxa"/>
        <w:jc w:val="left"/>
        <w:tblInd w:w="-540.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785"/>
        <w:gridCol w:w="4560"/>
        <w:gridCol w:w="1125"/>
        <w:tblGridChange w:id="0">
          <w:tblGrid>
            <w:gridCol w:w="4785"/>
            <w:gridCol w:w="4560"/>
            <w:gridCol w:w="1125"/>
          </w:tblGrid>
        </w:tblGridChange>
      </w:tblGrid>
      <w:tr>
        <w:trPr>
          <w:cantSplit w:val="0"/>
          <w:trHeight w:val="11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Competency 4: Engage In Practice-informed Research and Research-informed Practice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Activities within the internship</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Anticipated date of learning activity</w:t>
            </w:r>
            <w:r w:rsidDel="00000000" w:rsidR="00000000" w:rsidRPr="00000000">
              <w:rPr>
                <w:rFonts w:ascii="Times New Roman" w:cs="Times New Roman" w:eastAsia="Times New Roman" w:hAnsi="Times New Roman"/>
                <w:sz w:val="20"/>
                <w:szCs w:val="20"/>
                <w:rtl w:val="0"/>
              </w:rPr>
              <w:t xml:space="preserve">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use practice experience and theory to inform scientific inquiry and research.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-Protocols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Laws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Articles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-Gathering information on interest topics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create brochures for clients or community</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Intake and other Assessments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apply critical thinking to engage in analysis of quantitative and qualitative research methods and research findings.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-Apply student’s own thoughts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feedback from groups with supervisor</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effect and impact of services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and review data collected in agency, as well as from the community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follow modeling on how/when to change their role hats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think critically on data they collect on their own thinking / interactions with the clients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will self reflect and discuss biases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use and translate research evidence to inform and improve practice, policy, and service delivery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regular discussions on book studies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to review change of milieu demographics and the effect of current methods used accordingly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ownership and discuss changes to apply in real application based off what is learned by data</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will observe micro level agency process to prepare for an audit, or discuss larger organizational change based off surveys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Competency 5: Engage in Policy Practice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bl>
      <w:tblPr>
        <w:tblStyle w:val="Table3"/>
        <w:tblW w:w="10805.0" w:type="dxa"/>
        <w:jc w:val="left"/>
        <w:tblInd w:w="-876.9999999999999"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210"/>
        <w:gridCol w:w="4470"/>
        <w:gridCol w:w="1125"/>
        <w:tblGridChange w:id="0">
          <w:tblGrid>
            <w:gridCol w:w="5210"/>
            <w:gridCol w:w="4470"/>
            <w:gridCol w:w="1125"/>
          </w:tblGrid>
        </w:tblGridChange>
      </w:tblGrid>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Competency 5: Engage in Policy Practice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Activities within the internship</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Anticipated date of learning activity</w:t>
            </w:r>
            <w:r w:rsidDel="00000000" w:rsidR="00000000" w:rsidRPr="00000000">
              <w:rPr>
                <w:rFonts w:ascii="Times New Roman" w:cs="Times New Roman" w:eastAsia="Times New Roman" w:hAnsi="Times New Roman"/>
                <w:sz w:val="20"/>
                <w:szCs w:val="20"/>
                <w:rtl w:val="0"/>
              </w:rPr>
              <w:t xml:space="preserve"> </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identify social policy at the local, state, and federal level that impacts well-being, service delivery, and access to social services.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Medicare policy in relation to hospice care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fResearch SSDI policy and how it applies to those who want to work.</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Title V research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Older Americans Act, Title III Programs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local resources used to assist in the provision of mental health services (local mental health board funding), how it differs from Medicaid funding or private insurance to articulate how resources impact quality of care and access to services.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Illinois Mental Health Code and Rule 132</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policies related to DCFS youth in care and the impact on mental health accessibility for services.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governance policies that drive school procedures (IEP, 504 plans, assessments, etc)</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Identify expectations within the school around policies/procedures within the building</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understand HIPAA and related policies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Find podcasts on Medicaid/Medicare policy</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b w:val="1"/>
                <w:sz w:val="24"/>
                <w:szCs w:val="24"/>
              </w:rPr>
            </w:pPr>
            <w:r w:rsidDel="00000000" w:rsidR="00000000" w:rsidRPr="00000000">
              <w:rPr>
                <w:rtl w:val="0"/>
              </w:rPr>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assess how social welfare and economic policies impact the delivery of and access to social services.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Understanding what are mental health rights, human rights, justice and identify exactly how that policy is affecting the client here today, and how does that impact treatment planning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how criminal justice policy impact diverse populations through interaction with the justice system</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 statistics (racial demographics of arrest and referrals)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funding resources and lack of resources around policy-related issues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understanding of policy in case-conceptualization in working with clinical population to identify barriers to treatment.</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social determinants of health and explore policies related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tc>
      </w:tr>
      <w:tr>
        <w:trPr>
          <w:cantSplit w:val="0"/>
          <w:trHeight w:val="10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workers apply critical thinking to analyze, formulate, and advocate for policies that advance human rights and social, economic, and environmental justice.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arrest statistics don’t match diversion referrals, identity strategies to address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recommendations for funders</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policy recommendations for agencies/districts/organizations</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 changes to policy and processes involved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